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F28A" w14:textId="77777777" w:rsidR="002B0957" w:rsidRDefault="002B0957"/>
    <w:p w14:paraId="28F642D8" w14:textId="77777777" w:rsidR="002B0957" w:rsidRDefault="002B0957"/>
    <w:p w14:paraId="65AAC0B9" w14:textId="77777777" w:rsidR="002B0957" w:rsidRDefault="002B0957"/>
    <w:p w14:paraId="26AD28A3" w14:textId="77777777" w:rsidR="002B0957" w:rsidRDefault="002B0957"/>
    <w:p w14:paraId="018A3DE7" w14:textId="6D35E11A" w:rsidR="002E7FC9" w:rsidRPr="00B3007C" w:rsidRDefault="002B0957" w:rsidP="002B0957">
      <w:pPr>
        <w:jc w:val="center"/>
        <w:rPr>
          <w:rFonts w:ascii="Optima" w:hAnsi="Optima"/>
          <w:b/>
          <w:bCs/>
          <w:sz w:val="28"/>
          <w:szCs w:val="28"/>
        </w:rPr>
      </w:pPr>
      <w:r w:rsidRPr="00B3007C">
        <w:rPr>
          <w:rFonts w:ascii="Optima" w:hAnsi="Optima"/>
          <w:b/>
          <w:bCs/>
          <w:noProof/>
          <w:sz w:val="28"/>
          <w:szCs w:val="28"/>
        </w:rPr>
        <w:drawing>
          <wp:anchor distT="0" distB="0" distL="114300" distR="114300" simplePos="0" relativeHeight="251658240" behindDoc="0" locked="0" layoutInCell="1" allowOverlap="1" wp14:anchorId="1804FEBC" wp14:editId="74E8C516">
            <wp:simplePos x="0" y="0"/>
            <wp:positionH relativeFrom="margin">
              <wp:posOffset>2450241</wp:posOffset>
            </wp:positionH>
            <wp:positionV relativeFrom="margin">
              <wp:posOffset>29322</wp:posOffset>
            </wp:positionV>
            <wp:extent cx="895985" cy="902970"/>
            <wp:effectExtent l="0" t="0" r="5715" b="0"/>
            <wp:wrapSquare wrapText="bothSides"/>
            <wp:docPr id="1935392765"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2765" name="Picture 1" descr="A logo for a colleg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985" cy="902970"/>
                    </a:xfrm>
                    <a:prstGeom prst="rect">
                      <a:avLst/>
                    </a:prstGeom>
                  </pic:spPr>
                </pic:pic>
              </a:graphicData>
            </a:graphic>
            <wp14:sizeRelH relativeFrom="margin">
              <wp14:pctWidth>0</wp14:pctWidth>
            </wp14:sizeRelH>
            <wp14:sizeRelV relativeFrom="margin">
              <wp14:pctHeight>0</wp14:pctHeight>
            </wp14:sizeRelV>
          </wp:anchor>
        </w:drawing>
      </w:r>
      <w:r w:rsidRPr="00B3007C">
        <w:rPr>
          <w:rFonts w:ascii="Optima" w:hAnsi="Optima"/>
          <w:b/>
          <w:bCs/>
          <w:sz w:val="28"/>
          <w:szCs w:val="28"/>
        </w:rPr>
        <w:t>GUIA DE ESTUDIO DEL MODULO I:</w:t>
      </w:r>
    </w:p>
    <w:p w14:paraId="55B4C304" w14:textId="13BB8528" w:rsidR="002B0957" w:rsidRDefault="002B0957" w:rsidP="002B0957">
      <w:pPr>
        <w:jc w:val="center"/>
        <w:rPr>
          <w:rFonts w:ascii="Optima" w:hAnsi="Optima"/>
          <w:b/>
          <w:bCs/>
          <w:i/>
          <w:iCs/>
        </w:rPr>
      </w:pPr>
      <w:r w:rsidRPr="00B3007C">
        <w:rPr>
          <w:rFonts w:ascii="Optima" w:hAnsi="Optima"/>
          <w:b/>
          <w:bCs/>
          <w:i/>
          <w:iCs/>
        </w:rPr>
        <w:t>PANORAMA GENERAL DE LA BIBLIA</w:t>
      </w:r>
    </w:p>
    <w:p w14:paraId="7657E107" w14:textId="2BD5297D" w:rsidR="00B3007C" w:rsidRDefault="00B3007C" w:rsidP="00B3007C">
      <w:pPr>
        <w:spacing w:after="0" w:line="240" w:lineRule="auto"/>
        <w:rPr>
          <w:rFonts w:ascii="Optima" w:hAnsi="Optima"/>
        </w:rPr>
      </w:pPr>
      <w:r>
        <w:rPr>
          <w:rFonts w:ascii="Optima" w:hAnsi="Optima"/>
        </w:rPr>
        <w:t>Fechas: Mayo y Junio de 2025</w:t>
      </w:r>
    </w:p>
    <w:p w14:paraId="6E04E5B6" w14:textId="77777777" w:rsidR="00B3007C" w:rsidRDefault="00B3007C" w:rsidP="00B3007C">
      <w:pPr>
        <w:spacing w:after="0" w:line="240" w:lineRule="auto"/>
        <w:rPr>
          <w:rFonts w:ascii="Optima" w:hAnsi="Optima"/>
        </w:rPr>
      </w:pPr>
      <w:r>
        <w:rPr>
          <w:rFonts w:ascii="Optima" w:hAnsi="Optima"/>
        </w:rPr>
        <w:t>Profesor: Rev. Hugo Melvin Aldana Jr. Ph.D.</w:t>
      </w:r>
    </w:p>
    <w:p w14:paraId="4C6C1D85" w14:textId="7F0AAC28" w:rsidR="00B3007C" w:rsidRDefault="00B3007C" w:rsidP="00B3007C">
      <w:pPr>
        <w:spacing w:after="0" w:line="240" w:lineRule="auto"/>
        <w:rPr>
          <w:rFonts w:ascii="Optima" w:hAnsi="Optima"/>
        </w:rPr>
      </w:pPr>
      <w:r>
        <w:rPr>
          <w:rFonts w:ascii="Optima" w:hAnsi="Optima"/>
        </w:rPr>
        <w:t xml:space="preserve">Email: </w:t>
      </w:r>
      <w:hyperlink r:id="rId8" w:history="1">
        <w:r w:rsidRPr="00A253B0">
          <w:rPr>
            <w:rStyle w:val="Hyperlink"/>
            <w:rFonts w:ascii="Optima" w:hAnsi="Optima"/>
          </w:rPr>
          <w:t>haldana@lifepacific.edu</w:t>
        </w:r>
      </w:hyperlink>
    </w:p>
    <w:p w14:paraId="14808CB4" w14:textId="4A920146" w:rsidR="00B3007C" w:rsidRDefault="00B3007C" w:rsidP="00B3007C">
      <w:pPr>
        <w:spacing w:after="0" w:line="240" w:lineRule="auto"/>
        <w:rPr>
          <w:rFonts w:ascii="Optima" w:hAnsi="Optima"/>
        </w:rPr>
      </w:pPr>
      <w:r>
        <w:rPr>
          <w:rFonts w:ascii="Optima" w:hAnsi="Optima"/>
        </w:rPr>
        <w:t>Teléfono: 562-852-2495</w:t>
      </w:r>
    </w:p>
    <w:p w14:paraId="0173BA61" w14:textId="77777777" w:rsidR="00B3007C" w:rsidRDefault="00B3007C" w:rsidP="00B3007C">
      <w:pPr>
        <w:spacing w:after="0" w:line="240" w:lineRule="auto"/>
        <w:rPr>
          <w:rFonts w:ascii="Optima" w:hAnsi="Optima"/>
        </w:rPr>
      </w:pPr>
    </w:p>
    <w:p w14:paraId="51D97719" w14:textId="77777777" w:rsidR="00B3007C" w:rsidRDefault="00B3007C" w:rsidP="00B3007C">
      <w:pPr>
        <w:spacing w:after="0" w:line="240" w:lineRule="auto"/>
        <w:rPr>
          <w:rFonts w:ascii="Optima" w:hAnsi="Optima"/>
        </w:rPr>
      </w:pPr>
      <w:r w:rsidRPr="00B3007C">
        <w:rPr>
          <w:rFonts w:ascii="Optima" w:hAnsi="Optima"/>
          <w:b/>
          <w:bCs/>
        </w:rPr>
        <w:t>Descripción del Módulo:</w:t>
      </w:r>
      <w:r>
        <w:rPr>
          <w:rFonts w:ascii="Optima" w:hAnsi="Optima"/>
        </w:rPr>
        <w:t xml:space="preserve"> A través del estudio del modulo, se estudiará un panorama general de la Biblia, buscando entender aspectos propios como inspiración, canonicidad y composición, así como las partes propias de cada parte del texto Sagrado. </w:t>
      </w:r>
    </w:p>
    <w:p w14:paraId="64DC6D21" w14:textId="77777777" w:rsidR="00B3007C" w:rsidRDefault="00B3007C" w:rsidP="00B3007C">
      <w:pPr>
        <w:spacing w:after="0" w:line="240" w:lineRule="auto"/>
        <w:rPr>
          <w:rFonts w:ascii="Optima" w:hAnsi="Optima"/>
        </w:rPr>
      </w:pPr>
    </w:p>
    <w:p w14:paraId="57B70F03" w14:textId="262CBB53" w:rsidR="00B3007C" w:rsidRDefault="00B3007C" w:rsidP="00B3007C">
      <w:pPr>
        <w:spacing w:after="0" w:line="240" w:lineRule="auto"/>
        <w:rPr>
          <w:rFonts w:ascii="Optima" w:hAnsi="Optima"/>
        </w:rPr>
      </w:pPr>
      <w:r w:rsidRPr="00B3007C">
        <w:rPr>
          <w:rFonts w:ascii="Optima" w:hAnsi="Optima"/>
          <w:b/>
          <w:bCs/>
        </w:rPr>
        <w:t>Políticas de horas y grados:</w:t>
      </w:r>
      <w:r>
        <w:rPr>
          <w:rFonts w:ascii="Optima" w:hAnsi="Optima"/>
        </w:rPr>
        <w:t xml:space="preserve"> Los expertos han mostrado que un adulto es capaz de procesar la información obtenida de manera más rápida que un alumno promedio. Por lo tanto, este modulo está elaborado en modalidad hibrida y andragógica que permita la demostración de las competencias propias de un estudiando conocedor de los temas tratados. Se busca que cada estudiante invierta de 10 a 15 horas semanales y que comprenda a través de las clases sincrónicas y asincrónicas, los componentes propios de una educación especializada, dando como resultado la pericia investigativa, analítica y reflexive. </w:t>
      </w:r>
    </w:p>
    <w:p w14:paraId="3F9863BB" w14:textId="77777777" w:rsidR="00B3007C" w:rsidRDefault="00B3007C" w:rsidP="00B3007C">
      <w:pPr>
        <w:spacing w:after="0" w:line="240" w:lineRule="auto"/>
        <w:rPr>
          <w:rFonts w:ascii="Optima" w:hAnsi="Optima"/>
        </w:rPr>
      </w:pPr>
    </w:p>
    <w:p w14:paraId="54001C73" w14:textId="131832CB" w:rsidR="00B3007C" w:rsidRPr="00B3007C" w:rsidRDefault="00B3007C" w:rsidP="00B3007C">
      <w:pPr>
        <w:spacing w:after="0" w:line="240" w:lineRule="auto"/>
        <w:rPr>
          <w:rFonts w:ascii="Optima" w:hAnsi="Optima"/>
          <w:b/>
          <w:bCs/>
        </w:rPr>
      </w:pPr>
      <w:r w:rsidRPr="00B3007C">
        <w:rPr>
          <w:rFonts w:ascii="Optima" w:hAnsi="Optima"/>
          <w:b/>
          <w:bCs/>
        </w:rPr>
        <w:t>Resultados de este modulo:</w:t>
      </w:r>
    </w:p>
    <w:p w14:paraId="44009D75" w14:textId="734D7B4F" w:rsidR="00B3007C" w:rsidRDefault="00B3007C" w:rsidP="00B3007C">
      <w:pPr>
        <w:pStyle w:val="ListParagraph"/>
        <w:numPr>
          <w:ilvl w:val="0"/>
          <w:numId w:val="1"/>
        </w:numPr>
        <w:spacing w:after="0" w:line="240" w:lineRule="auto"/>
        <w:rPr>
          <w:rFonts w:ascii="Optima" w:hAnsi="Optima"/>
        </w:rPr>
      </w:pPr>
      <w:r>
        <w:rPr>
          <w:rFonts w:ascii="Optima" w:hAnsi="Optima"/>
        </w:rPr>
        <w:t>Tener un panorama claro de la Biblia</w:t>
      </w:r>
    </w:p>
    <w:p w14:paraId="306ED24D" w14:textId="6F1965DF" w:rsidR="00B3007C" w:rsidRDefault="00B3007C" w:rsidP="00B3007C">
      <w:pPr>
        <w:pStyle w:val="ListParagraph"/>
        <w:numPr>
          <w:ilvl w:val="0"/>
          <w:numId w:val="1"/>
        </w:numPr>
        <w:spacing w:after="0" w:line="240" w:lineRule="auto"/>
        <w:rPr>
          <w:rFonts w:ascii="Optima" w:hAnsi="Optima"/>
        </w:rPr>
      </w:pPr>
      <w:r>
        <w:rPr>
          <w:rFonts w:ascii="Optima" w:hAnsi="Optima"/>
        </w:rPr>
        <w:t>Entender lo que significa la Inspiración bíblica</w:t>
      </w:r>
    </w:p>
    <w:p w14:paraId="3518B2EF" w14:textId="15AAC47F" w:rsidR="00B3007C" w:rsidRDefault="00B3007C" w:rsidP="00B3007C">
      <w:pPr>
        <w:pStyle w:val="ListParagraph"/>
        <w:numPr>
          <w:ilvl w:val="0"/>
          <w:numId w:val="1"/>
        </w:numPr>
        <w:spacing w:after="0" w:line="240" w:lineRule="auto"/>
        <w:rPr>
          <w:rFonts w:ascii="Optima" w:hAnsi="Optima"/>
        </w:rPr>
      </w:pPr>
      <w:r>
        <w:rPr>
          <w:rFonts w:ascii="Optima" w:hAnsi="Optima"/>
        </w:rPr>
        <w:t>Conocer y saber explicar la canonicidad de las Escrituras</w:t>
      </w:r>
    </w:p>
    <w:p w14:paraId="003D48CB" w14:textId="26C45B8E" w:rsidR="00B3007C" w:rsidRDefault="00B3007C" w:rsidP="00B3007C">
      <w:pPr>
        <w:pStyle w:val="ListParagraph"/>
        <w:numPr>
          <w:ilvl w:val="0"/>
          <w:numId w:val="1"/>
        </w:numPr>
        <w:spacing w:after="0" w:line="240" w:lineRule="auto"/>
        <w:rPr>
          <w:rFonts w:ascii="Optima" w:hAnsi="Optima"/>
        </w:rPr>
      </w:pPr>
      <w:r>
        <w:rPr>
          <w:rFonts w:ascii="Optima" w:hAnsi="Optima"/>
        </w:rPr>
        <w:t>Aprender las partes propias de ambos testamentos</w:t>
      </w:r>
    </w:p>
    <w:p w14:paraId="50AD1AD5" w14:textId="5B2AA2CF" w:rsidR="00B3007C" w:rsidRDefault="00B3007C" w:rsidP="00B3007C">
      <w:pPr>
        <w:pStyle w:val="ListParagraph"/>
        <w:numPr>
          <w:ilvl w:val="0"/>
          <w:numId w:val="1"/>
        </w:numPr>
        <w:spacing w:after="0" w:line="240" w:lineRule="auto"/>
        <w:rPr>
          <w:rFonts w:ascii="Optima" w:hAnsi="Optima"/>
        </w:rPr>
      </w:pPr>
      <w:r>
        <w:rPr>
          <w:rFonts w:ascii="Optima" w:hAnsi="Optima"/>
        </w:rPr>
        <w:t>Obtener los principios para desarrollar una teología bíblica integral</w:t>
      </w:r>
    </w:p>
    <w:p w14:paraId="6ADD92C6" w14:textId="77777777" w:rsidR="00B3007C" w:rsidRDefault="00B3007C" w:rsidP="00B3007C">
      <w:pPr>
        <w:spacing w:after="0" w:line="240" w:lineRule="auto"/>
        <w:rPr>
          <w:rFonts w:ascii="Optima" w:hAnsi="Optima"/>
        </w:rPr>
      </w:pPr>
    </w:p>
    <w:p w14:paraId="48CE3A58" w14:textId="7ECAF69E" w:rsidR="00B3007C" w:rsidRPr="00B3007C" w:rsidRDefault="00B3007C" w:rsidP="00B3007C">
      <w:pPr>
        <w:spacing w:after="0" w:line="240" w:lineRule="auto"/>
        <w:rPr>
          <w:rFonts w:ascii="Optima" w:hAnsi="Optima"/>
          <w:b/>
          <w:bCs/>
        </w:rPr>
      </w:pPr>
      <w:r w:rsidRPr="00B3007C">
        <w:rPr>
          <w:rFonts w:ascii="Optima" w:hAnsi="Optima"/>
          <w:b/>
          <w:bCs/>
        </w:rPr>
        <w:t>Libros de Texto requeridos:</w:t>
      </w:r>
    </w:p>
    <w:p w14:paraId="5501A897" w14:textId="521CB0FA" w:rsidR="00B3007C" w:rsidRDefault="00B3007C" w:rsidP="00B3007C">
      <w:pPr>
        <w:pStyle w:val="ListParagraph"/>
        <w:numPr>
          <w:ilvl w:val="0"/>
          <w:numId w:val="2"/>
        </w:numPr>
        <w:spacing w:after="0" w:line="240" w:lineRule="auto"/>
        <w:rPr>
          <w:rFonts w:ascii="Optima" w:hAnsi="Optima"/>
        </w:rPr>
      </w:pPr>
      <w:r>
        <w:rPr>
          <w:rFonts w:ascii="Optima" w:hAnsi="Optima"/>
        </w:rPr>
        <w:t>La Biblia (varias versions)</w:t>
      </w:r>
    </w:p>
    <w:p w14:paraId="05DD9C88" w14:textId="5E4023D7" w:rsidR="00B3007C" w:rsidRDefault="00B3007C" w:rsidP="00B3007C">
      <w:pPr>
        <w:pStyle w:val="ListParagraph"/>
        <w:numPr>
          <w:ilvl w:val="0"/>
          <w:numId w:val="2"/>
        </w:numPr>
        <w:spacing w:after="0" w:line="240" w:lineRule="auto"/>
        <w:rPr>
          <w:rFonts w:ascii="Optima" w:hAnsi="Optima"/>
        </w:rPr>
      </w:pPr>
      <w:r>
        <w:rPr>
          <w:rFonts w:ascii="Optima" w:hAnsi="Optima"/>
        </w:rPr>
        <w:t>Benware, N. Paul (1994) Panorama del Antiguo Testamento, Editorial Portavoz</w:t>
      </w:r>
    </w:p>
    <w:p w14:paraId="122D8F80" w14:textId="59E18163" w:rsidR="00B3007C" w:rsidRDefault="00B3007C" w:rsidP="00B3007C">
      <w:pPr>
        <w:pStyle w:val="ListParagraph"/>
        <w:numPr>
          <w:ilvl w:val="0"/>
          <w:numId w:val="2"/>
        </w:numPr>
        <w:spacing w:after="0" w:line="240" w:lineRule="auto"/>
        <w:rPr>
          <w:rFonts w:ascii="Optima" w:hAnsi="Optima"/>
        </w:rPr>
      </w:pPr>
      <w:r>
        <w:rPr>
          <w:rFonts w:ascii="Optima" w:hAnsi="Optima"/>
        </w:rPr>
        <w:t>Benware, N. Paul (1996) Panorama del Nuevo Testamento, Editorial Portavoz</w:t>
      </w:r>
    </w:p>
    <w:p w14:paraId="62B9B728" w14:textId="77777777" w:rsidR="00B3007C" w:rsidRDefault="00B3007C" w:rsidP="00B3007C">
      <w:pPr>
        <w:spacing w:after="0" w:line="240" w:lineRule="auto"/>
        <w:rPr>
          <w:rFonts w:ascii="Optima" w:hAnsi="Optima"/>
        </w:rPr>
      </w:pPr>
    </w:p>
    <w:p w14:paraId="762AD10F" w14:textId="77777777" w:rsidR="00FD5304" w:rsidRDefault="00FD5304" w:rsidP="00B3007C">
      <w:pPr>
        <w:spacing w:after="0" w:line="240" w:lineRule="auto"/>
        <w:rPr>
          <w:rFonts w:ascii="Optima" w:hAnsi="Optima"/>
          <w:b/>
          <w:bCs/>
        </w:rPr>
      </w:pPr>
    </w:p>
    <w:p w14:paraId="036B31A5" w14:textId="77777777" w:rsidR="00FD5304" w:rsidRDefault="00FD5304" w:rsidP="00B3007C">
      <w:pPr>
        <w:spacing w:after="0" w:line="240" w:lineRule="auto"/>
        <w:rPr>
          <w:rFonts w:ascii="Optima" w:hAnsi="Optima"/>
          <w:b/>
          <w:bCs/>
        </w:rPr>
      </w:pPr>
    </w:p>
    <w:p w14:paraId="69CC2EED" w14:textId="77777777" w:rsidR="00FD5304" w:rsidRDefault="00FD5304" w:rsidP="00B3007C">
      <w:pPr>
        <w:spacing w:after="0" w:line="240" w:lineRule="auto"/>
        <w:rPr>
          <w:rFonts w:ascii="Optima" w:hAnsi="Optima"/>
          <w:b/>
          <w:bCs/>
        </w:rPr>
      </w:pPr>
    </w:p>
    <w:p w14:paraId="4D12B61F" w14:textId="77777777" w:rsidR="00FD5304" w:rsidRDefault="00FD5304" w:rsidP="00B3007C">
      <w:pPr>
        <w:spacing w:after="0" w:line="240" w:lineRule="auto"/>
        <w:rPr>
          <w:rFonts w:ascii="Optima" w:hAnsi="Optima"/>
          <w:b/>
          <w:bCs/>
        </w:rPr>
      </w:pPr>
    </w:p>
    <w:p w14:paraId="0287B40C" w14:textId="593122D9" w:rsidR="00B3007C" w:rsidRPr="00FD5304" w:rsidRDefault="00B3007C" w:rsidP="00B3007C">
      <w:pPr>
        <w:spacing w:after="0" w:line="240" w:lineRule="auto"/>
        <w:rPr>
          <w:rFonts w:ascii="Optima" w:hAnsi="Optima"/>
          <w:b/>
          <w:bCs/>
        </w:rPr>
      </w:pPr>
      <w:r w:rsidRPr="00FD5304">
        <w:rPr>
          <w:rFonts w:ascii="Optima" w:hAnsi="Optima"/>
          <w:b/>
          <w:bCs/>
        </w:rPr>
        <w:lastRenderedPageBreak/>
        <w:t>Calendario del modulo:</w:t>
      </w:r>
    </w:p>
    <w:p w14:paraId="44163604" w14:textId="77777777" w:rsidR="00B3007C" w:rsidRDefault="00B3007C" w:rsidP="00B3007C">
      <w:pPr>
        <w:spacing w:after="0" w:line="240" w:lineRule="auto"/>
        <w:rPr>
          <w:rFonts w:ascii="Optima" w:hAnsi="Optima"/>
        </w:rPr>
      </w:pPr>
    </w:p>
    <w:p w14:paraId="7B4A6BB5" w14:textId="77777777" w:rsidR="00B3007C" w:rsidRDefault="00B3007C" w:rsidP="00B3007C">
      <w:pPr>
        <w:spacing w:after="0" w:line="240" w:lineRule="auto"/>
        <w:rPr>
          <w:rFonts w:ascii="Optima" w:hAnsi="Optima"/>
        </w:rPr>
      </w:pPr>
    </w:p>
    <w:tbl>
      <w:tblPr>
        <w:tblStyle w:val="TableGrid"/>
        <w:tblW w:w="0" w:type="auto"/>
        <w:tblLook w:val="04A0" w:firstRow="1" w:lastRow="0" w:firstColumn="1" w:lastColumn="0" w:noHBand="0" w:noVBand="1"/>
      </w:tblPr>
      <w:tblGrid>
        <w:gridCol w:w="2400"/>
        <w:gridCol w:w="2387"/>
        <w:gridCol w:w="2354"/>
        <w:gridCol w:w="2209"/>
      </w:tblGrid>
      <w:tr w:rsidR="00B3007C" w14:paraId="2FF42FD7" w14:textId="088F8E22" w:rsidTr="00B3007C">
        <w:tc>
          <w:tcPr>
            <w:tcW w:w="2400" w:type="dxa"/>
          </w:tcPr>
          <w:p w14:paraId="40B981D8" w14:textId="18CEB247" w:rsidR="00B3007C" w:rsidRDefault="00B3007C" w:rsidP="00B3007C">
            <w:pPr>
              <w:rPr>
                <w:rFonts w:ascii="Optima" w:hAnsi="Optima"/>
              </w:rPr>
            </w:pPr>
            <w:r>
              <w:rPr>
                <w:rFonts w:ascii="Optima" w:hAnsi="Optima"/>
              </w:rPr>
              <w:t>Fecha</w:t>
            </w:r>
          </w:p>
        </w:tc>
        <w:tc>
          <w:tcPr>
            <w:tcW w:w="2387" w:type="dxa"/>
          </w:tcPr>
          <w:p w14:paraId="27B71768" w14:textId="5901D8EA" w:rsidR="00B3007C" w:rsidRDefault="00B3007C" w:rsidP="00B3007C">
            <w:pPr>
              <w:rPr>
                <w:rFonts w:ascii="Optima" w:hAnsi="Optima"/>
              </w:rPr>
            </w:pPr>
            <w:r>
              <w:rPr>
                <w:rFonts w:ascii="Optima" w:hAnsi="Optima"/>
              </w:rPr>
              <w:t>Tema</w:t>
            </w:r>
          </w:p>
        </w:tc>
        <w:tc>
          <w:tcPr>
            <w:tcW w:w="2354" w:type="dxa"/>
          </w:tcPr>
          <w:p w14:paraId="3609C5C0" w14:textId="3751D587" w:rsidR="00B3007C" w:rsidRDefault="00B3007C" w:rsidP="00B3007C">
            <w:pPr>
              <w:rPr>
                <w:rFonts w:ascii="Optima" w:hAnsi="Optima"/>
              </w:rPr>
            </w:pPr>
            <w:r>
              <w:rPr>
                <w:rFonts w:ascii="Optima" w:hAnsi="Optima"/>
              </w:rPr>
              <w:t>Foro</w:t>
            </w:r>
          </w:p>
        </w:tc>
        <w:tc>
          <w:tcPr>
            <w:tcW w:w="2209" w:type="dxa"/>
          </w:tcPr>
          <w:p w14:paraId="064C5B16" w14:textId="280EB0B1" w:rsidR="00B3007C" w:rsidRDefault="00B3007C" w:rsidP="00B3007C">
            <w:pPr>
              <w:rPr>
                <w:rFonts w:ascii="Optima" w:hAnsi="Optima"/>
              </w:rPr>
            </w:pPr>
            <w:r>
              <w:rPr>
                <w:rFonts w:ascii="Optima" w:hAnsi="Optima"/>
              </w:rPr>
              <w:t>Tarea</w:t>
            </w:r>
          </w:p>
        </w:tc>
      </w:tr>
      <w:tr w:rsidR="00B3007C" w14:paraId="62F2B32C" w14:textId="77777777" w:rsidTr="00B3007C">
        <w:tc>
          <w:tcPr>
            <w:tcW w:w="2400" w:type="dxa"/>
          </w:tcPr>
          <w:p w14:paraId="4CA93C2F" w14:textId="38BFFA37" w:rsidR="00B3007C" w:rsidRDefault="00B3007C" w:rsidP="00B3007C">
            <w:pPr>
              <w:rPr>
                <w:rFonts w:ascii="Optima" w:hAnsi="Optima"/>
              </w:rPr>
            </w:pPr>
            <w:r>
              <w:rPr>
                <w:rFonts w:ascii="Optima" w:hAnsi="Optima"/>
              </w:rPr>
              <w:t>Abril 29</w:t>
            </w:r>
          </w:p>
        </w:tc>
        <w:tc>
          <w:tcPr>
            <w:tcW w:w="2387" w:type="dxa"/>
          </w:tcPr>
          <w:p w14:paraId="0ADFD541" w14:textId="77777777" w:rsidR="00B3007C" w:rsidRDefault="00B3007C" w:rsidP="00B3007C">
            <w:pPr>
              <w:rPr>
                <w:rFonts w:ascii="Optima" w:hAnsi="Optima"/>
              </w:rPr>
            </w:pPr>
            <w:r>
              <w:rPr>
                <w:rFonts w:ascii="Optima" w:hAnsi="Optima"/>
              </w:rPr>
              <w:t>Introducción al estudio de la Biblia</w:t>
            </w:r>
          </w:p>
          <w:p w14:paraId="7E8ED068" w14:textId="77777777" w:rsidR="005E4BB3" w:rsidRDefault="005E4BB3" w:rsidP="00B3007C">
            <w:pPr>
              <w:rPr>
                <w:rFonts w:ascii="Optima" w:hAnsi="Optima"/>
              </w:rPr>
            </w:pPr>
          </w:p>
          <w:p w14:paraId="1376A634" w14:textId="4667CDFB" w:rsidR="005E4BB3" w:rsidRDefault="005E4BB3" w:rsidP="00B3007C">
            <w:pPr>
              <w:rPr>
                <w:rFonts w:ascii="Optima" w:hAnsi="Optima"/>
              </w:rPr>
            </w:pPr>
          </w:p>
        </w:tc>
        <w:tc>
          <w:tcPr>
            <w:tcW w:w="2354" w:type="dxa"/>
          </w:tcPr>
          <w:p w14:paraId="49D2C52C" w14:textId="5630DCDC" w:rsidR="00B3007C" w:rsidRDefault="00B3007C" w:rsidP="00B3007C">
            <w:pPr>
              <w:rPr>
                <w:rFonts w:ascii="Optima" w:hAnsi="Optima"/>
              </w:rPr>
            </w:pPr>
            <w:r>
              <w:rPr>
                <w:rFonts w:ascii="Optima" w:hAnsi="Optima"/>
              </w:rPr>
              <w:t>¿</w:t>
            </w:r>
            <w:r w:rsidR="005E4BB3">
              <w:rPr>
                <w:rFonts w:ascii="Optima" w:hAnsi="Optima"/>
              </w:rPr>
              <w:t>Cuál es la tesis de la Biblia?</w:t>
            </w:r>
            <w:r>
              <w:rPr>
                <w:rFonts w:ascii="Optima" w:hAnsi="Optima"/>
              </w:rPr>
              <w:t xml:space="preserve"> </w:t>
            </w:r>
          </w:p>
        </w:tc>
        <w:tc>
          <w:tcPr>
            <w:tcW w:w="2209" w:type="dxa"/>
          </w:tcPr>
          <w:p w14:paraId="35E3103D" w14:textId="0821E6BB" w:rsidR="00B3007C" w:rsidRDefault="005E4BB3" w:rsidP="00B3007C">
            <w:pPr>
              <w:rPr>
                <w:rFonts w:ascii="Optima" w:hAnsi="Optima"/>
              </w:rPr>
            </w:pPr>
            <w:r>
              <w:rPr>
                <w:rFonts w:ascii="Optima" w:hAnsi="Optima"/>
              </w:rPr>
              <w:t>Haga un resumen del capítulo para esta semana</w:t>
            </w:r>
          </w:p>
        </w:tc>
      </w:tr>
    </w:tbl>
    <w:p w14:paraId="00EB6D68" w14:textId="77777777" w:rsidR="00B3007C" w:rsidRPr="00B3007C" w:rsidRDefault="00B3007C" w:rsidP="00B3007C">
      <w:pPr>
        <w:spacing w:after="0" w:line="240" w:lineRule="auto"/>
        <w:rPr>
          <w:rFonts w:ascii="Optima" w:hAnsi="Optima"/>
        </w:rPr>
      </w:pPr>
    </w:p>
    <w:p w14:paraId="5A3D19E4" w14:textId="77777777" w:rsidR="00B3007C" w:rsidRDefault="00B3007C" w:rsidP="002B0957">
      <w:pPr>
        <w:rPr>
          <w:rFonts w:ascii="Optima" w:hAnsi="Optima"/>
          <w:b/>
          <w:bCs/>
        </w:rPr>
      </w:pPr>
    </w:p>
    <w:p w14:paraId="340BFDA1" w14:textId="6D1BB008" w:rsidR="00B3007C" w:rsidRDefault="00B3007C" w:rsidP="002B0957">
      <w:pPr>
        <w:rPr>
          <w:rFonts w:ascii="Optima" w:hAnsi="Optima"/>
          <w:b/>
          <w:bCs/>
        </w:rPr>
      </w:pPr>
      <w:r>
        <w:rPr>
          <w:rFonts w:ascii="Optima" w:hAnsi="Optima"/>
          <w:b/>
          <w:bCs/>
        </w:rPr>
        <w:t xml:space="preserve">Modalidad: </w:t>
      </w:r>
      <w:r w:rsidR="002B0957" w:rsidRPr="00B3007C">
        <w:rPr>
          <w:rFonts w:ascii="Optima" w:hAnsi="Optima"/>
          <w:b/>
          <w:bCs/>
        </w:rPr>
        <w:t>Nivelación académica</w:t>
      </w:r>
      <w:r>
        <w:rPr>
          <w:rFonts w:ascii="Optima" w:hAnsi="Optima"/>
          <w:b/>
          <w:bCs/>
        </w:rPr>
        <w:t>.</w:t>
      </w:r>
    </w:p>
    <w:p w14:paraId="6066E120" w14:textId="3E7A4B14" w:rsidR="002B0957" w:rsidRPr="00B3007C" w:rsidRDefault="002B0957" w:rsidP="002B0957">
      <w:pPr>
        <w:rPr>
          <w:rFonts w:ascii="Optima" w:hAnsi="Optima"/>
        </w:rPr>
      </w:pPr>
      <w:r w:rsidRPr="00B3007C">
        <w:rPr>
          <w:rFonts w:ascii="Optima" w:hAnsi="Optima"/>
        </w:rPr>
        <w:t xml:space="preserve">El presente curso en la modalidad de nivelación académica, es el esfuerzo por </w:t>
      </w:r>
      <w:r w:rsidR="00B3007C">
        <w:rPr>
          <w:rFonts w:ascii="Optima" w:hAnsi="Optima"/>
        </w:rPr>
        <w:t xml:space="preserve">completar la información y formación básica del estudiante en aras de satisfacer sus competencias en las áreas principales del programa de Asociado en Artes en Ministerio Practico y así hacer expedito su paso al último año de la Licenciatura en Teología y Liderazgo. De no ser satisfecho el programa, este año se tomará como el primer peldaño de su educación ministerial y podrá acceder al programa regular de Asociado en Artes de la Institución. </w:t>
      </w:r>
    </w:p>
    <w:sectPr w:rsidR="002B0957" w:rsidRPr="00B3007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D654" w14:textId="77777777" w:rsidR="007A6B66" w:rsidRDefault="007A6B66" w:rsidP="00FD5304">
      <w:pPr>
        <w:spacing w:after="0" w:line="240" w:lineRule="auto"/>
      </w:pPr>
      <w:r>
        <w:separator/>
      </w:r>
    </w:p>
  </w:endnote>
  <w:endnote w:type="continuationSeparator" w:id="0">
    <w:p w14:paraId="6308289A" w14:textId="77777777" w:rsidR="007A6B66" w:rsidRDefault="007A6B66" w:rsidP="00FD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00503060000020004"/>
    <w:charset w:val="00"/>
    <w:family w:val="auto"/>
    <w:pitch w:val="variable"/>
    <w:sig w:usb0="80000067"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803422"/>
      <w:docPartObj>
        <w:docPartGallery w:val="Page Numbers (Bottom of Page)"/>
        <w:docPartUnique/>
      </w:docPartObj>
    </w:sdtPr>
    <w:sdtContent>
      <w:p w14:paraId="15A67A5F" w14:textId="6467F41C" w:rsidR="00FD5304" w:rsidRDefault="00FD5304" w:rsidP="00A253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12935" w14:textId="77777777" w:rsidR="00FD5304" w:rsidRDefault="00FD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862942"/>
      <w:docPartObj>
        <w:docPartGallery w:val="Page Numbers (Bottom of Page)"/>
        <w:docPartUnique/>
      </w:docPartObj>
    </w:sdtPr>
    <w:sdtContent>
      <w:p w14:paraId="1D544B38" w14:textId="02D68190" w:rsidR="00FD5304" w:rsidRDefault="00FD5304" w:rsidP="00A253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3E050B" w14:textId="77777777" w:rsidR="00FD5304" w:rsidRDefault="00FD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A996" w14:textId="77777777" w:rsidR="007A6B66" w:rsidRDefault="007A6B66" w:rsidP="00FD5304">
      <w:pPr>
        <w:spacing w:after="0" w:line="240" w:lineRule="auto"/>
      </w:pPr>
      <w:r>
        <w:separator/>
      </w:r>
    </w:p>
  </w:footnote>
  <w:footnote w:type="continuationSeparator" w:id="0">
    <w:p w14:paraId="3C41A8BA" w14:textId="77777777" w:rsidR="007A6B66" w:rsidRDefault="007A6B66" w:rsidP="00FD5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63E57"/>
    <w:multiLevelType w:val="hybridMultilevel"/>
    <w:tmpl w:val="2AC4F38E"/>
    <w:lvl w:ilvl="0" w:tplc="BC4EB55C">
      <w:start w:val="1"/>
      <w:numFmt w:val="bullet"/>
      <w:lvlText w:val="-"/>
      <w:lvlJc w:val="left"/>
      <w:pPr>
        <w:ind w:left="720" w:hanging="360"/>
      </w:pPr>
      <w:rPr>
        <w:rFonts w:ascii="Optima" w:eastAsiaTheme="minorHAnsi" w:hAnsi="Optim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41FCE"/>
    <w:multiLevelType w:val="hybridMultilevel"/>
    <w:tmpl w:val="2728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30B46"/>
    <w:multiLevelType w:val="hybridMultilevel"/>
    <w:tmpl w:val="67AA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89400">
    <w:abstractNumId w:val="2"/>
  </w:num>
  <w:num w:numId="2" w16cid:durableId="501773109">
    <w:abstractNumId w:val="1"/>
  </w:num>
  <w:num w:numId="3" w16cid:durableId="48092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57"/>
    <w:rsid w:val="000515C3"/>
    <w:rsid w:val="00117A23"/>
    <w:rsid w:val="0016082E"/>
    <w:rsid w:val="00271219"/>
    <w:rsid w:val="002B0957"/>
    <w:rsid w:val="002E7FC9"/>
    <w:rsid w:val="004B68FA"/>
    <w:rsid w:val="005E4BB3"/>
    <w:rsid w:val="00676FF2"/>
    <w:rsid w:val="00741317"/>
    <w:rsid w:val="007A6B66"/>
    <w:rsid w:val="008B3A69"/>
    <w:rsid w:val="00973DC1"/>
    <w:rsid w:val="00B3007C"/>
    <w:rsid w:val="00D46D29"/>
    <w:rsid w:val="00DE1610"/>
    <w:rsid w:val="00FD5304"/>
    <w:rsid w:val="00FF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634C"/>
  <w15:chartTrackingRefBased/>
  <w15:docId w15:val="{7DE42C13-39BA-0244-9334-E4D2A2C7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957"/>
    <w:rPr>
      <w:rFonts w:eastAsiaTheme="majorEastAsia" w:cstheme="majorBidi"/>
      <w:color w:val="272727" w:themeColor="text1" w:themeTint="D8"/>
    </w:rPr>
  </w:style>
  <w:style w:type="paragraph" w:styleId="Title">
    <w:name w:val="Title"/>
    <w:basedOn w:val="Normal"/>
    <w:next w:val="Normal"/>
    <w:link w:val="TitleChar"/>
    <w:uiPriority w:val="10"/>
    <w:qFormat/>
    <w:rsid w:val="002B0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957"/>
    <w:pPr>
      <w:spacing w:before="160"/>
      <w:jc w:val="center"/>
    </w:pPr>
    <w:rPr>
      <w:i/>
      <w:iCs/>
      <w:color w:val="404040" w:themeColor="text1" w:themeTint="BF"/>
    </w:rPr>
  </w:style>
  <w:style w:type="character" w:customStyle="1" w:styleId="QuoteChar">
    <w:name w:val="Quote Char"/>
    <w:basedOn w:val="DefaultParagraphFont"/>
    <w:link w:val="Quote"/>
    <w:uiPriority w:val="29"/>
    <w:rsid w:val="002B0957"/>
    <w:rPr>
      <w:i/>
      <w:iCs/>
      <w:color w:val="404040" w:themeColor="text1" w:themeTint="BF"/>
    </w:rPr>
  </w:style>
  <w:style w:type="paragraph" w:styleId="ListParagraph">
    <w:name w:val="List Paragraph"/>
    <w:basedOn w:val="Normal"/>
    <w:uiPriority w:val="34"/>
    <w:qFormat/>
    <w:rsid w:val="002B0957"/>
    <w:pPr>
      <w:ind w:left="720"/>
      <w:contextualSpacing/>
    </w:pPr>
  </w:style>
  <w:style w:type="character" w:styleId="IntenseEmphasis">
    <w:name w:val="Intense Emphasis"/>
    <w:basedOn w:val="DefaultParagraphFont"/>
    <w:uiPriority w:val="21"/>
    <w:qFormat/>
    <w:rsid w:val="002B0957"/>
    <w:rPr>
      <w:i/>
      <w:iCs/>
      <w:color w:val="0F4761" w:themeColor="accent1" w:themeShade="BF"/>
    </w:rPr>
  </w:style>
  <w:style w:type="paragraph" w:styleId="IntenseQuote">
    <w:name w:val="Intense Quote"/>
    <w:basedOn w:val="Normal"/>
    <w:next w:val="Normal"/>
    <w:link w:val="IntenseQuoteChar"/>
    <w:uiPriority w:val="30"/>
    <w:qFormat/>
    <w:rsid w:val="002B0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957"/>
    <w:rPr>
      <w:i/>
      <w:iCs/>
      <w:color w:val="0F4761" w:themeColor="accent1" w:themeShade="BF"/>
    </w:rPr>
  </w:style>
  <w:style w:type="character" w:styleId="IntenseReference">
    <w:name w:val="Intense Reference"/>
    <w:basedOn w:val="DefaultParagraphFont"/>
    <w:uiPriority w:val="32"/>
    <w:qFormat/>
    <w:rsid w:val="002B0957"/>
    <w:rPr>
      <w:b/>
      <w:bCs/>
      <w:smallCaps/>
      <w:color w:val="0F4761" w:themeColor="accent1" w:themeShade="BF"/>
      <w:spacing w:val="5"/>
    </w:rPr>
  </w:style>
  <w:style w:type="character" w:styleId="Hyperlink">
    <w:name w:val="Hyperlink"/>
    <w:basedOn w:val="DefaultParagraphFont"/>
    <w:uiPriority w:val="99"/>
    <w:unhideWhenUsed/>
    <w:rsid w:val="00B3007C"/>
    <w:rPr>
      <w:color w:val="467886" w:themeColor="hyperlink"/>
      <w:u w:val="single"/>
    </w:rPr>
  </w:style>
  <w:style w:type="character" w:styleId="UnresolvedMention">
    <w:name w:val="Unresolved Mention"/>
    <w:basedOn w:val="DefaultParagraphFont"/>
    <w:uiPriority w:val="99"/>
    <w:semiHidden/>
    <w:unhideWhenUsed/>
    <w:rsid w:val="00B3007C"/>
    <w:rPr>
      <w:color w:val="605E5C"/>
      <w:shd w:val="clear" w:color="auto" w:fill="E1DFDD"/>
    </w:rPr>
  </w:style>
  <w:style w:type="paragraph" w:customStyle="1" w:styleId="Default">
    <w:name w:val="Default"/>
    <w:rsid w:val="00B3007C"/>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B3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5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304"/>
  </w:style>
  <w:style w:type="character" w:styleId="PageNumber">
    <w:name w:val="page number"/>
    <w:basedOn w:val="DefaultParagraphFont"/>
    <w:uiPriority w:val="99"/>
    <w:semiHidden/>
    <w:unhideWhenUsed/>
    <w:rsid w:val="00FD5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dana@lifepacifi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Meredith Aldana</cp:lastModifiedBy>
  <cp:revision>5</cp:revision>
  <dcterms:created xsi:type="dcterms:W3CDTF">2025-04-29T21:38:00Z</dcterms:created>
  <dcterms:modified xsi:type="dcterms:W3CDTF">2025-04-29T23:39:00Z</dcterms:modified>
</cp:coreProperties>
</file>